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Freedom 4/24 exists to bring freedom and justice to victims and survivors of sexual exploitation and trafficking through providing awareness and education and expanding the work of our partners.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Job Title: Grant Writing Internship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Reports To: President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Date: Spring/Summer/Fall Internship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Compensation: Volunteer/Unpaid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SUMMARY</w:t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To serve as the Grant Writing Intern with the aim of supporting the Freedom 4/24 staff in attaining funding through foundation/corporation grant opportunities.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ESSENTIAL DUTIES AND RESPONSIBILITIES include the following. Other duties may be assigned.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Research and help identify potential grant opportunities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Organize grant opportunities according to deadline, alignment with mission/focus, ease of application, etc.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Create goals for semester around number of grants to be completed/submitted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Work with staff to research and write text for various grants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Other duties as assigned by the Freedom 4/24 staff.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SUPERVISORY RESPONSIBILITIES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This internship does not require any supervisory responsibilities.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QUALIFICATIONS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To perform this job successfully, an individual must be able to perform each essential duty satisfactorily. The individual must be self ­motivated and have the ability to problem solve and to seek out creative solutions independently but also understand that program development requires community effort.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EDUCATION and/or EXPERIENCE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Completed at least two years of full­-time studies at a university or equivalent institution toward the completion of a degree in public health, public administration, non-profit management, communications, marketing, English, or similar areas of study. Grant writing experience is preferred; writing samples are required. 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Experience in nonprofit work is desired but not required; however, it is essential to have the understanding that working in the nonprofit world means being flexible and willing to serve in varying capacities.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1047750</wp:posOffset>
          </wp:positionH>
          <wp:positionV relativeFrom="paragraph">
            <wp:posOffset>-342899</wp:posOffset>
          </wp:positionV>
          <wp:extent cx="3648596" cy="69616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48596" cy="69616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